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39666" w14:textId="77777777" w:rsidR="004207C5" w:rsidRDefault="00355037">
      <w:pPr>
        <w:pStyle w:val="BodyText"/>
        <w:ind w:left="103"/>
        <w:rPr>
          <w:rFonts w:ascii="Times New Roman"/>
          <w:sz w:val="20"/>
        </w:rPr>
      </w:pPr>
      <w:r>
        <w:rPr>
          <w:rFonts w:ascii="Times New Roman"/>
          <w:sz w:val="20"/>
        </w:rPr>
      </w:r>
      <w:r>
        <w:rPr>
          <w:rFonts w:ascii="Times New Roman"/>
          <w:sz w:val="20"/>
        </w:rPr>
        <w:pict w14:anchorId="56D1C62E">
          <v:shapetype id="_x0000_t202" coordsize="21600,21600" o:spt="202" path="m,l,21600r21600,l21600,xe">
            <v:stroke joinstyle="miter"/>
            <v:path gradientshapeok="t" o:connecttype="rect"/>
          </v:shapetype>
          <v:shape id="_x0000_s1027" type="#_x0000_t202" style="width:566.95pt;height:70.65pt;mso-left-percent:-10001;mso-top-percent:-10001;mso-position-horizontal:absolute;mso-position-horizontal-relative:char;mso-position-vertical:absolute;mso-position-vertical-relative:line;mso-left-percent:-10001;mso-top-percent:-10001" fillcolor="#008cd2" stroked="f">
            <v:textbox inset="0,0,0,0">
              <w:txbxContent>
                <w:p w14:paraId="236A2EA3" w14:textId="77777777" w:rsidR="004207C5" w:rsidRDefault="00355037">
                  <w:pPr>
                    <w:spacing w:before="99" w:line="184" w:lineRule="auto"/>
                    <w:ind w:left="113"/>
                    <w:rPr>
                      <w:rFonts w:ascii="HelveticaNeueLT Std Blk"/>
                      <w:b/>
                      <w:sz w:val="70"/>
                    </w:rPr>
                  </w:pPr>
                  <w:r>
                    <w:rPr>
                      <w:rFonts w:ascii="HelveticaNeueLT Std Blk"/>
                      <w:b/>
                      <w:color w:val="FFFFFF"/>
                      <w:sz w:val="70"/>
                    </w:rPr>
                    <w:t>MENNESKERETTIGHEDERNES HISTORIE</w:t>
                  </w:r>
                </w:p>
              </w:txbxContent>
            </v:textbox>
            <w10:anchorlock/>
          </v:shape>
        </w:pict>
      </w:r>
    </w:p>
    <w:p w14:paraId="2BAD95BB" w14:textId="77777777" w:rsidR="004207C5" w:rsidRDefault="004207C5">
      <w:pPr>
        <w:pStyle w:val="BodyText"/>
        <w:spacing w:before="4"/>
        <w:ind w:left="0"/>
        <w:rPr>
          <w:rFonts w:ascii="Times New Roman"/>
          <w:sz w:val="23"/>
        </w:rPr>
      </w:pPr>
    </w:p>
    <w:p w14:paraId="25D04FF8" w14:textId="5012B840" w:rsidR="004207C5" w:rsidRDefault="00355037" w:rsidP="00355037">
      <w:pPr>
        <w:spacing w:before="100"/>
        <w:rPr>
          <w:rFonts w:ascii="HelveticaNeueLT Pro 95 Blk"/>
          <w:b/>
          <w:sz w:val="40"/>
        </w:rPr>
      </w:pPr>
      <w:r>
        <w:pict w14:anchorId="48ACACB3">
          <v:shape id="_x0000_s1026" type="#_x0000_t202" style="position:absolute;margin-left:19.85pt;margin-top:-87.85pt;width:555.05pt;height:73.5pt;z-index:-15757312;mso-position-horizontal-relative:page" filled="f" stroked="f">
            <v:textbox inset="0,0,0,0">
              <w:txbxContent>
                <w:p w14:paraId="032A62C3" w14:textId="77777777" w:rsidR="004207C5" w:rsidRDefault="00355037">
                  <w:pPr>
                    <w:spacing w:before="153" w:line="184" w:lineRule="auto"/>
                    <w:rPr>
                      <w:rFonts w:ascii="HelveticaNeueLT Std Blk"/>
                      <w:b/>
                      <w:sz w:val="70"/>
                    </w:rPr>
                  </w:pPr>
                  <w:r>
                    <w:rPr>
                      <w:rFonts w:ascii="HelveticaNeueLT Std Blk"/>
                      <w:b/>
                      <w:color w:val="FFFFFF"/>
                      <w:sz w:val="70"/>
                    </w:rPr>
                    <w:t>MENNESKERETTIGHEDERNES HISTORIE</w:t>
                  </w:r>
                </w:p>
              </w:txbxContent>
            </v:textbox>
            <w10:wrap anchorx="page"/>
          </v:shape>
        </w:pict>
      </w:r>
      <w:r>
        <w:rPr>
          <w:rFonts w:ascii="HelveticaNeueLT Pro 95 Blk"/>
          <w:b/>
          <w:color w:val="008CD2"/>
          <w:sz w:val="40"/>
        </w:rPr>
        <w:t>MODUL 4: Menneskerettighedernes historie</w:t>
      </w:r>
    </w:p>
    <w:p w14:paraId="439899DC" w14:textId="77777777" w:rsidR="004207C5" w:rsidRDefault="00355037">
      <w:pPr>
        <w:spacing w:before="233"/>
        <w:ind w:left="670"/>
        <w:rPr>
          <w:rFonts w:ascii="HelveticaNeueLT Std" w:hAnsi="HelveticaNeueLT Std"/>
          <w:b/>
          <w:sz w:val="21"/>
        </w:rPr>
      </w:pPr>
      <w:r>
        <w:rPr>
          <w:rFonts w:ascii="HelveticaNeueLT Std" w:hAnsi="HelveticaNeueLT Std"/>
          <w:b/>
          <w:color w:val="008CD2"/>
          <w:sz w:val="21"/>
        </w:rPr>
        <w:t>JOHN LOCKE: ANDEN AFHANDLING OM STYREFORMEN – UDDRAG</w:t>
      </w:r>
    </w:p>
    <w:p w14:paraId="505372AC" w14:textId="77777777" w:rsidR="004207C5" w:rsidRDefault="00355037">
      <w:pPr>
        <w:spacing w:before="44" w:line="285" w:lineRule="auto"/>
        <w:ind w:left="670" w:right="1210"/>
        <w:jc w:val="both"/>
        <w:rPr>
          <w:i/>
          <w:sz w:val="21"/>
        </w:rPr>
      </w:pPr>
      <w:r>
        <w:rPr>
          <w:i/>
          <w:sz w:val="21"/>
        </w:rPr>
        <w:t>Den engelske filosof John Locke regnes blandt menneskerettighedernes fædre. I skri</w:t>
      </w:r>
      <w:r>
        <w:rPr>
          <w:i/>
          <w:sz w:val="21"/>
        </w:rPr>
        <w:t xml:space="preserve">ftet </w:t>
      </w:r>
      <w:r>
        <w:rPr>
          <w:i/>
          <w:spacing w:val="-9"/>
          <w:sz w:val="21"/>
        </w:rPr>
        <w:t xml:space="preserve">To </w:t>
      </w:r>
      <w:r>
        <w:rPr>
          <w:i/>
          <w:sz w:val="21"/>
        </w:rPr>
        <w:t xml:space="preserve">afhandlinger  om regering fra </w:t>
      </w:r>
      <w:r>
        <w:rPr>
          <w:i/>
          <w:spacing w:val="-4"/>
          <w:sz w:val="21"/>
        </w:rPr>
        <w:t xml:space="preserve">1690 </w:t>
      </w:r>
      <w:r>
        <w:rPr>
          <w:i/>
          <w:sz w:val="21"/>
        </w:rPr>
        <w:t xml:space="preserve">hævder han, at det er statens opgave at sikre menneskers </w:t>
      </w:r>
      <w:r>
        <w:rPr>
          <w:i/>
          <w:spacing w:val="-4"/>
          <w:sz w:val="21"/>
        </w:rPr>
        <w:t xml:space="preserve">liv, </w:t>
      </w:r>
      <w:r>
        <w:rPr>
          <w:i/>
          <w:sz w:val="21"/>
        </w:rPr>
        <w:t>frihed, sundhed og</w:t>
      </w:r>
      <w:r>
        <w:rPr>
          <w:i/>
          <w:spacing w:val="18"/>
          <w:sz w:val="21"/>
        </w:rPr>
        <w:t xml:space="preserve"> </w:t>
      </w:r>
      <w:r>
        <w:rPr>
          <w:i/>
          <w:sz w:val="21"/>
        </w:rPr>
        <w:t>den</w:t>
      </w:r>
    </w:p>
    <w:p w14:paraId="2C6323F3" w14:textId="77777777" w:rsidR="004207C5" w:rsidRDefault="00355037">
      <w:pPr>
        <w:spacing w:line="285" w:lineRule="auto"/>
        <w:ind w:left="670" w:right="694"/>
        <w:jc w:val="both"/>
        <w:rPr>
          <w:i/>
          <w:sz w:val="21"/>
        </w:rPr>
      </w:pPr>
      <w:r>
        <w:rPr>
          <w:i/>
          <w:sz w:val="21"/>
        </w:rPr>
        <w:t xml:space="preserve">ejendom, de selv har skabt – og hvis en regering ikke kan det, har folket ret til at afsætte den. Med dette politisk- filosofiske hovedværk lagde Locke mere end nogen anden grunden til det moderne demokrati og dets principper om ejendomsret, retfærdighed, </w:t>
      </w:r>
      <w:r>
        <w:rPr>
          <w:i/>
          <w:sz w:val="21"/>
        </w:rPr>
        <w:t>frihed, lighed og magtens tredeling.</w:t>
      </w:r>
    </w:p>
    <w:p w14:paraId="7266F798" w14:textId="77777777" w:rsidR="004207C5" w:rsidRDefault="00355037">
      <w:pPr>
        <w:spacing w:before="48"/>
        <w:ind w:left="670"/>
        <w:jc w:val="both"/>
        <w:rPr>
          <w:sz w:val="21"/>
        </w:rPr>
      </w:pPr>
      <w:r>
        <w:rPr>
          <w:i/>
          <w:sz w:val="21"/>
        </w:rPr>
        <w:t xml:space="preserve">Denne kildetekst er et uddrag af skriftets anden del, </w:t>
      </w:r>
      <w:r>
        <w:rPr>
          <w:sz w:val="21"/>
        </w:rPr>
        <w:t>Anden afhandling om styreformen:</w:t>
      </w:r>
    </w:p>
    <w:p w14:paraId="733565A5" w14:textId="77777777" w:rsidR="004207C5" w:rsidRDefault="004207C5">
      <w:pPr>
        <w:pStyle w:val="BodyText"/>
        <w:spacing w:before="9"/>
        <w:ind w:left="0"/>
        <w:rPr>
          <w:sz w:val="22"/>
        </w:rPr>
      </w:pPr>
    </w:p>
    <w:p w14:paraId="62896CA4" w14:textId="77777777" w:rsidR="004207C5" w:rsidRDefault="00355037">
      <w:pPr>
        <w:pStyle w:val="BodyText"/>
        <w:spacing w:line="280" w:lineRule="auto"/>
        <w:ind w:right="635"/>
      </w:pPr>
      <w:r>
        <w:t>Menneskets naturlige frihed er at være fri for enhver højerestående magt på jorden og ikke at være under et menneskes vilje og lovgivende myndighed, men kun at have naturens lov som sin rettesnor. Menneskets frihed i samfundet er at være underkastet hverke</w:t>
      </w:r>
      <w:r>
        <w:t>n nogen anden lovgivende magt end den, der ved samtykke er stiftet i staten, eller nogen anden viljes herredømme eller lovs begrænsning udover hvad den lovgivende myndighed vil vedtage ifølge sit betroede hverv.</w:t>
      </w:r>
    </w:p>
    <w:p w14:paraId="4D19B99A" w14:textId="77777777" w:rsidR="004207C5" w:rsidRDefault="004207C5">
      <w:pPr>
        <w:pStyle w:val="BodyText"/>
        <w:spacing w:before="2"/>
        <w:ind w:left="0"/>
        <w:rPr>
          <w:sz w:val="19"/>
        </w:rPr>
      </w:pPr>
    </w:p>
    <w:p w14:paraId="6EF2239B" w14:textId="77777777" w:rsidR="004207C5" w:rsidRDefault="00355037">
      <w:pPr>
        <w:pStyle w:val="BodyText"/>
        <w:spacing w:line="280" w:lineRule="auto"/>
        <w:ind w:right="635"/>
      </w:pPr>
      <w:r>
        <w:t>Da alle mennesker som sagt af naturen er fr</w:t>
      </w:r>
      <w:r>
        <w:t>ie, lige og uafhængige, kan ingen fjernes fra denne tilstand og underkastes en andens politiske magt uden sit eget samtykke. Den eneste måde, hvorpå nogen kan opgive sin naturlige frihed og pålægge sig borgersamfundets bånd, er ved at enes med andre mennes</w:t>
      </w:r>
      <w:r>
        <w:t>ker om at tilslutte sig og forenes i et fællesskab for at leve behageligt, sikkert og fredeligt sammen og trygt kunne nyde sin ejendom med en større sikkerhed mod enhver udenforstående.</w:t>
      </w:r>
    </w:p>
    <w:p w14:paraId="5A4CE944" w14:textId="77777777" w:rsidR="004207C5" w:rsidRDefault="004207C5">
      <w:pPr>
        <w:pStyle w:val="BodyText"/>
        <w:spacing w:before="1"/>
        <w:ind w:left="0"/>
        <w:rPr>
          <w:sz w:val="19"/>
        </w:rPr>
      </w:pPr>
    </w:p>
    <w:p w14:paraId="539DCE90" w14:textId="77777777" w:rsidR="004207C5" w:rsidRDefault="00355037">
      <w:pPr>
        <w:pStyle w:val="BodyText"/>
        <w:spacing w:line="280" w:lineRule="auto"/>
        <w:ind w:right="635"/>
      </w:pPr>
      <w:r>
        <w:t xml:space="preserve">Ethvert menneske fødes med en dobbelt ret: For det første retten til </w:t>
      </w:r>
      <w:r>
        <w:t>frihed for sin person, som intet andet menneske har magt over, og som kun han selv frit råder over. For det andet en ret til frem for nogen anden sammen med sine brødre at arve sin faders ejendele. I kraft af det første er et menneske af naturen fri for at</w:t>
      </w:r>
      <w:r>
        <w:t xml:space="preserve"> underkaste sig noget styre, selv om det er født på et sted under dettes retsområde. Men hvis det forkaster det lovlige styre i det land, det blev født i, må det også opgive den ret, der tilhørte det i kraft af det lands love og de besiddelser dér, der er </w:t>
      </w:r>
      <w:r>
        <w:t>gået i arv til det fra dets forfædre, hvis det er et styre, der er blevet til ved deres samtykke.</w:t>
      </w:r>
    </w:p>
    <w:p w14:paraId="680A43A0" w14:textId="77777777" w:rsidR="004207C5" w:rsidRDefault="00355037">
      <w:pPr>
        <w:pStyle w:val="BodyText"/>
        <w:spacing w:line="247" w:lineRule="exact"/>
      </w:pPr>
      <w:r>
        <w:t>….</w:t>
      </w:r>
    </w:p>
    <w:p w14:paraId="6CD13EBE" w14:textId="77777777" w:rsidR="004207C5" w:rsidRDefault="00355037">
      <w:pPr>
        <w:pStyle w:val="BodyText"/>
        <w:spacing w:before="212" w:line="280" w:lineRule="auto"/>
        <w:ind w:right="813"/>
      </w:pPr>
      <w:r>
        <w:t>Da menneskene går ind i et samfund med det store formål at kunne have deres ejendom i fred og sikkerhed,  og da det store redskab og middel hertil er de lo</w:t>
      </w:r>
      <w:r>
        <w:t>ve, der fastsættes i det samfund, er den første grundlæggende positive lov i alle stater stiftelsen af den lovgivende magt, ligesom den første, grundlæggende</w:t>
      </w:r>
      <w:r>
        <w:rPr>
          <w:spacing w:val="-3"/>
        </w:rPr>
        <w:t xml:space="preserve"> </w:t>
      </w:r>
      <w:r>
        <w:t>naturlige</w:t>
      </w:r>
    </w:p>
    <w:p w14:paraId="3260F543" w14:textId="77777777" w:rsidR="004207C5" w:rsidRDefault="00355037">
      <w:pPr>
        <w:pStyle w:val="BodyText"/>
        <w:spacing w:line="280" w:lineRule="auto"/>
      </w:pPr>
      <w:r>
        <w:t>lov, som endda skal styre selve den lovgivende magt, er bevarelsen af samfundet og (så v</w:t>
      </w:r>
      <w:r>
        <w:t>idt det vil være i overensstemmelse med almenvellet), af enhver person i det.</w:t>
      </w:r>
    </w:p>
    <w:p w14:paraId="4CADD718" w14:textId="77777777" w:rsidR="004207C5" w:rsidRDefault="004207C5">
      <w:pPr>
        <w:pStyle w:val="BodyText"/>
        <w:spacing w:before="2"/>
        <w:ind w:left="0"/>
        <w:rPr>
          <w:sz w:val="19"/>
        </w:rPr>
      </w:pPr>
    </w:p>
    <w:p w14:paraId="44217FB2" w14:textId="77777777" w:rsidR="004207C5" w:rsidRDefault="00355037">
      <w:pPr>
        <w:pStyle w:val="BodyText"/>
        <w:spacing w:line="280" w:lineRule="auto"/>
        <w:ind w:right="813"/>
      </w:pPr>
      <w:r>
        <w:t>Denne lovgivende magt er ikke blot statens øverste magt, men ligger hellig og uforanderlig hos dem, hvor fællesskabet engang har lagt den. Ej heller kan nogen forordning af noge</w:t>
      </w:r>
      <w:r>
        <w:t>n anden, i hvilken form den end er forfattet, eller af hvilken magt den end bliver støttet, have en lovs kraft og forpligtelse, når denne forordning ikke er blevet sanktioneret af den lovgivende magt, som almenheden har valgt og udnævnt. For uden denne kun</w:t>
      </w:r>
      <w:r>
        <w:t>ne loven ikke have, hvad der er absolut nødvendigt for, at den kan være en lov, nemlig samfundets samtykke, og ingen kan have magt til at give love for samfundet undtagen efter dettes eget samtykke og bemyndigelse.</w:t>
      </w:r>
    </w:p>
    <w:p w14:paraId="542CB08C" w14:textId="77777777" w:rsidR="004207C5" w:rsidRDefault="004207C5">
      <w:pPr>
        <w:pStyle w:val="BodyText"/>
        <w:spacing w:before="1"/>
        <w:ind w:left="0"/>
        <w:rPr>
          <w:sz w:val="19"/>
        </w:rPr>
      </w:pPr>
    </w:p>
    <w:p w14:paraId="517DBF61" w14:textId="60504B81" w:rsidR="004207C5" w:rsidRPr="00355037" w:rsidRDefault="00355037" w:rsidP="00355037">
      <w:pPr>
        <w:pStyle w:val="BodyText"/>
        <w:spacing w:line="336" w:lineRule="auto"/>
        <w:ind w:right="2847"/>
        <w:rPr>
          <w:color w:val="243285"/>
        </w:rPr>
      </w:pPr>
      <w:r w:rsidRPr="00355037">
        <w:rPr>
          <w:lang w:val="da-DK"/>
        </w:rPr>
        <w:t>U</w:t>
      </w:r>
      <w:r>
        <w:rPr>
          <w:lang w:val="da-DK"/>
        </w:rPr>
        <w:t xml:space="preserve">ddragene </w:t>
      </w:r>
      <w:r>
        <w:t xml:space="preserve">ligger </w:t>
      </w:r>
      <w:r>
        <w:t xml:space="preserve">på følgende link: </w:t>
      </w:r>
      <w:hyperlink r:id="rId4">
        <w:r>
          <w:rPr>
            <w:color w:val="243285"/>
          </w:rPr>
          <w:t>http://www.his2rie.dk/kildetekster/ret-og-vrang-om-menneskerettighederne/kildetekst-4/</w:t>
        </w:r>
      </w:hyperlink>
      <w:r>
        <w:rPr>
          <w:color w:val="243285"/>
          <w:lang w:val="da-DK"/>
        </w:rPr>
        <w:t xml:space="preserve">. </w:t>
      </w:r>
      <w:r>
        <w:t>John Locke: Om styreformen, 1690 | Verden fø</w:t>
      </w:r>
      <w:r>
        <w:t>r 1914 – i dansk perspektiv (systime.dk)</w:t>
      </w:r>
      <w:r w:rsidRPr="00355037">
        <w:rPr>
          <w:lang w:val="da-DK"/>
        </w:rPr>
        <w:t>:</w:t>
      </w:r>
      <w:r>
        <w:rPr>
          <w:lang w:val="da-DK"/>
        </w:rPr>
        <w:t xml:space="preserve"> </w:t>
      </w:r>
      <w:hyperlink r:id="rId5" w:history="1">
        <w:r w:rsidRPr="005D09AA">
          <w:rPr>
            <w:rStyle w:val="Hyperlink"/>
            <w:lang w:val="da-DK"/>
          </w:rPr>
          <w:t>https://verdenfoer1914.systime.dk/?id=115</w:t>
        </w:r>
      </w:hyperlink>
    </w:p>
    <w:p w14:paraId="0FD5789B" w14:textId="77777777" w:rsidR="00355037" w:rsidRPr="00355037" w:rsidRDefault="00355037">
      <w:pPr>
        <w:pStyle w:val="BodyText"/>
        <w:spacing w:line="336" w:lineRule="auto"/>
        <w:ind w:right="2847"/>
        <w:rPr>
          <w:lang w:val="da-DK"/>
        </w:rPr>
      </w:pPr>
    </w:p>
    <w:sectPr w:rsidR="00355037" w:rsidRPr="00355037">
      <w:type w:val="continuous"/>
      <w:pgSz w:w="11910" w:h="16840"/>
      <w:pgMar w:top="260" w:right="18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Arial"/>
    <w:charset w:val="00"/>
    <w:family w:val="swiss"/>
    <w:pitch w:val="variable"/>
  </w:font>
  <w:font w:name="HelveticaNeueLT Std Blk">
    <w:altName w:val="Arial"/>
    <w:charset w:val="00"/>
    <w:family w:val="swiss"/>
    <w:pitch w:val="variable"/>
  </w:font>
  <w:font w:name="HelveticaNeueLT Pro 95 Blk">
    <w:altName w:val="Arial"/>
    <w:charset w:val="00"/>
    <w:family w:val="swiss"/>
    <w:pitch w:val="variable"/>
  </w:font>
  <w:font w:name="HelveticaNeueLT St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207C5"/>
    <w:rsid w:val="00355037"/>
    <w:rsid w:val="004207C5"/>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6B4E25"/>
  <w15:docId w15:val="{9FAEC5F8-3813-45BD-BACA-9385B5B4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Pro 45 Lt" w:eastAsia="HelveticaNeueLT Pro 45 Lt" w:hAnsi="HelveticaNeueLT Pro 45 Lt" w:cs="HelveticaNeueLT Pro 45 Lt"/>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0"/>
    </w:pPr>
    <w:rPr>
      <w:sz w:val="21"/>
      <w:szCs w:val="21"/>
    </w:rPr>
  </w:style>
  <w:style w:type="paragraph" w:styleId="Title">
    <w:name w:val="Title"/>
    <w:basedOn w:val="Normal"/>
    <w:uiPriority w:val="10"/>
    <w:qFormat/>
    <w:pPr>
      <w:spacing w:before="99"/>
    </w:pPr>
    <w:rPr>
      <w:rFonts w:ascii="HelveticaNeueLT Std Blk" w:eastAsia="HelveticaNeueLT Std Blk" w:hAnsi="HelveticaNeueLT Std Blk" w:cs="HelveticaNeueLT Std Blk"/>
      <w:b/>
      <w:bCs/>
      <w:sz w:val="70"/>
      <w:szCs w:val="7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55037"/>
    <w:rPr>
      <w:color w:val="0000FF" w:themeColor="hyperlink"/>
      <w:u w:val="single"/>
    </w:rPr>
  </w:style>
  <w:style w:type="character" w:styleId="UnresolvedMention">
    <w:name w:val="Unresolved Mention"/>
    <w:basedOn w:val="DefaultParagraphFont"/>
    <w:uiPriority w:val="99"/>
    <w:semiHidden/>
    <w:unhideWhenUsed/>
    <w:rsid w:val="00355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erdenfoer1914.systime.dk/?id=115" TargetMode="External"/><Relationship Id="rId4" Type="http://schemas.openxmlformats.org/officeDocument/2006/relationships/hyperlink" Target="http://www.his2rie.dk/kildetekster/ret-og-vrang-om-menneskerettighederne/kildeteks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Lindholm</cp:lastModifiedBy>
  <cp:revision>2</cp:revision>
  <dcterms:created xsi:type="dcterms:W3CDTF">2021-01-27T13:05:00Z</dcterms:created>
  <dcterms:modified xsi:type="dcterms:W3CDTF">2021-01-28T12:29:00Z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InDesign 16.0 (Windows)</vt:lpwstr>
  </property>
  <property fmtid="{D5CDD505-2E9C-101B-9397-08002B2CF9AE}" pid="4" name="LastSaved">
    <vt:filetime>2021-01-27T00:00:00Z</vt:filetime>
  </property>
</Properties>
</file>